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color w:val="1B2A4A"/>
          <w:sz w:val="40"/>
        </w:rPr>
        <w:t>NEXUS SOFTWARE B.V.</w:t>
      </w:r>
    </w:p>
    <w:p>
      <w:pPr>
        <w:jc w:val="center"/>
      </w:pPr>
      <w:r>
        <w:rPr>
          <w:rFonts w:ascii="Calibri" w:hAnsi="Calibri"/>
          <w:color w:val="2D5BE3"/>
          <w:sz w:val="26"/>
        </w:rPr>
        <w:t>Security &amp; Compliance Overview</w:t>
      </w:r>
    </w:p>
    <w:p>
      <w:pPr>
        <w:jc w:val="center"/>
      </w:pPr>
      <w:r>
        <w:rPr>
          <w:rFonts w:ascii="Calibri" w:hAnsi="Calibri"/>
          <w:color w:val="787878"/>
          <w:sz w:val="18"/>
        </w:rPr>
        <w:t>Version 1.8  ·  June 2026  ·  Classification: Public</w:t>
      </w:r>
    </w:p>
    <w:p/>
    <w:p>
      <w:pPr>
        <w:pStyle w:val="Heading1"/>
        <w:jc w:val="left"/>
      </w:pPr>
      <w:r>
        <w:rPr>
          <w:rFonts w:ascii="Calibri" w:hAnsi="Calibri"/>
          <w:color w:val="1B2A4A"/>
        </w:rPr>
        <w:t>1. Company Overview</w:t>
      </w:r>
    </w:p>
    <w:p>
      <w:pPr>
        <w:spacing w:after="120"/>
      </w:pPr>
      <w:r>
        <w:rPr>
          <w:rFonts w:ascii="Calibri" w:hAnsi="Calibri"/>
          <w:sz w:val="20"/>
        </w:rPr>
        <w:t>Nexus Software B.V. is a Dutch B2B SaaS company headquartered in Amsterdam, the Netherlands (registered at KvK: 82 14 37 09). We develop and operate Nexus Projects, a cloud-based project management and team collaboration platform used by over 600 organisations across Europe. Our platform is built for mid-market and enterprise customers in professional services, technology, and financial services.</w:t>
      </w:r>
    </w:p>
    <w:p>
      <w:pPr>
        <w:spacing w:after="120"/>
      </w:pPr>
      <w:r>
        <w:rPr>
          <w:rFonts w:ascii="Calibri" w:hAnsi="Calibri"/>
          <w:sz w:val="20"/>
        </w:rPr>
        <w:t>Security is a core product value. We operate under ISO/IEC 27001:2022 certification and align our practices to the OWASP Top 10, NIST CSF, and GDPR requirements.</w:t>
      </w:r>
    </w:p>
    <w:p>
      <w:pPr>
        <w:pStyle w:val="Heading1"/>
        <w:jc w:val="left"/>
      </w:pPr>
      <w:r>
        <w:rPr>
          <w:rFonts w:ascii="Calibri" w:hAnsi="Calibri"/>
          <w:color w:val="1B2A4A"/>
        </w:rPr>
        <w:t>2. Infrastructure &amp; Hosting</w:t>
      </w:r>
    </w:p>
    <w:p>
      <w:pPr>
        <w:spacing w:after="120"/>
      </w:pPr>
      <w:r>
        <w:rPr>
          <w:rFonts w:ascii="Calibri" w:hAnsi="Calibri"/>
          <w:sz w:val="20"/>
        </w:rPr>
        <w:t>All customer data is hosted exclusively on Amazon Web Services (AWS) within the European Economic Area. Our primary region is eu-central-1 (Frankfurt, Germany); disaster-recovery backups are replicated to eu-west-1 (Dublin, Ireland). No customer data is stored or processed outside the EEA.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2.1 Key Infrastructure Components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Compute: AWS ECS Fargate (serverless containers, no persistent EC2 instances)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Database: Amazon RDS for PostgreSQL — Multi-AZ, automated failover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Object storage: Amazon S3 with SSE-KMS encryption; versioning enabled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CDN / Edge: Amazon CloudFront with WAF; DNSSEC via Route 53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Secrets management: AWS Secrets Manager, automatic rotation every 90 days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2.2 Availability &amp; Recovery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Target uptime SLA: 99.9 % (measured monthly, excluding scheduled maintenance)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Actual uptime (last 12 months): 99.96 %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Recovery Time Objective (RTO): 4 hours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Recovery Point Objective (RPO): 30 minutes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Database backups: daily automated snapshots retained 30 days; point-in-time recovery to 5-minute granularity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Disaster recovery test: conducted annually; most recent test: March 2026 (RTO achieved: 2 h 18 min)</w:t>
      </w:r>
    </w:p>
    <w:p>
      <w:pPr>
        <w:pStyle w:val="Heading1"/>
        <w:jc w:val="left"/>
      </w:pPr>
      <w:r>
        <w:rPr>
          <w:rFonts w:ascii="Calibri" w:hAnsi="Calibri"/>
          <w:color w:val="1B2A4A"/>
        </w:rPr>
        <w:t>3. Data Protection &amp; Privacy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3.1 Encryption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Data at rest: AES-256-GCM via AWS KMS; one Customer Master Key (CMK) per tenant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Data in transit: TLS 1.2 minimum; TLS 1.3 preferred; HTTP Strict Transport Security (HSTS) enforced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Key rotation: CMKs rotated automatically every 12 months; data-encryption keys rotated on re-keying events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Backups: encrypted with separate KMS keys; keys stored in isolated AWS accounts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3.2 Data Residency &amp; Retention</w:t>
      </w:r>
    </w:p>
    <w:p>
      <w:pPr>
        <w:spacing w:after="120"/>
      </w:pPr>
      <w:r>
        <w:rPr>
          <w:rFonts w:ascii="Calibri" w:hAnsi="Calibri"/>
          <w:sz w:val="20"/>
        </w:rPr>
        <w:t>All customer data resides within the EEA (AWS eu-central-1 / eu-west-1). Upon contract termination, customer data is retained in a read-only state for 30 days to support transition, then permanently deleted within 7 business days via cryptographic erasure. A deletion certificate is issued upon request.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3.3 GDPR Compliance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Nexus Software B.V. acts as a Data Processor under GDPR Art. 28; a standard DPA is available on request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Data Protection Officer: privacy@nexussoftware.example — appointed since 2022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DSAR requests handled within 30-day statutory deadline via self-service portal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Data transfers outside EEA: none; all sub-processors are EU-based or covered by EU–US Data Privacy Framework</w:t>
      </w:r>
    </w:p>
    <w:p>
      <w:pPr>
        <w:pStyle w:val="Heading1"/>
        <w:jc w:val="left"/>
      </w:pPr>
      <w:r>
        <w:rPr>
          <w:rFonts w:ascii="Calibri" w:hAnsi="Calibri"/>
          <w:color w:val="1B2A4A"/>
        </w:rPr>
        <w:t>4. Access Control &amp; Identity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4.1 Authentication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MFA enforced for all user accounts (TOTP via authenticator app or WebAuthn/FIDO2 hardware key)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Admin and production access requires hardware MFA (YubiKey) — no exceptions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SSO supported: SAML 2.0 and OpenID Connect (tested with Okta, Azure AD, Google Workspace)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Password policy: minimum 12 characters, complexity required, last-10 reuse prevention; no forced rotation (NIST 800-63B aligned)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Session idle timeout: 30 minutes for end users; 15 minutes for admin console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4.2 Role-Based Access Control</w:t>
      </w:r>
    </w:p>
    <w:p>
      <w:pPr>
        <w:spacing w:after="120"/>
      </w:pPr>
      <w:r>
        <w:rPr>
          <w:rFonts w:ascii="Calibri" w:hAnsi="Calibri"/>
          <w:sz w:val="20"/>
        </w:rPr>
        <w:t>Nexus Projects uses a four-tier RBAC model: Owner → Admin → Member → Viewer. Access is provisioned via SCIM 2.0 for enterprise customers (automated provisioning/deprovisioning synced with IdP). Quarterly access reviews are conducted by team leads; privileged access reviews occur monthly.</w:t>
      </w:r>
    </w:p>
    <w:p>
      <w:pPr>
        <w:spacing w:after="120"/>
      </w:pPr>
      <w:r>
        <w:rPr>
          <w:rFonts w:ascii="Calibri" w:hAnsi="Calibri"/>
          <w:sz w:val="20"/>
        </w:rPr>
        <w:t>Production infrastructure access is restricted to the Security Engineering team (4 individuals) via AWS IAM with just-in-time access through HashiCorp Boundary. All production sessions are recorded and reviewed weekly.</w:t>
      </w:r>
    </w:p>
    <w:p>
      <w:pPr>
        <w:pStyle w:val="Heading1"/>
        <w:jc w:val="left"/>
      </w:pPr>
      <w:r>
        <w:rPr>
          <w:rFonts w:ascii="Calibri" w:hAnsi="Calibri"/>
          <w:color w:val="1B2A4A"/>
        </w:rPr>
        <w:t>5. Application &amp; Network Security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5.1 Application Security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Secure SDLC: threat modelling at design phase; mandatory peer code review; SAST (Semgrep) on every PR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Dependency scanning: Dependabot + Snyk; critical CVEs patched within 24 hours, high within 7 days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DAST: OWASP ZAP scans run on every release to staging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Bug bounty / responsible disclosure: security@nexussoftware.example; coordinated with HackerOne</w:t>
      </w:r>
    </w:p>
    <w:p>
      <w:pPr>
        <w:pStyle w:val="Heading2"/>
        <w:jc w:val="left"/>
      </w:pPr>
      <w:r>
        <w:rPr>
          <w:rFonts w:ascii="Calibri" w:hAnsi="Calibri"/>
          <w:color w:val="1B2A4A"/>
        </w:rPr>
        <w:t>5.2 Network &amp; Infrastructure Security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WAF: AWS WAF with OWASP Core Rule Set (CRS) v3.3; custom rules for API abuse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DDoS: AWS Shield Standard on all public endpoints; AWS Shield Advanced on critical API endpoints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Network segmentation: VPC with private subnets for all application and database tiers; no direct internet access to backend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Vulnerability scanning: Tenable.io continuous scanning of all internet-facing assets; internal scans weekly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Critical vulnerability patching SLA (CVSS ≥ 9.0): 24 hours from disclosure</w:t>
      </w:r>
    </w:p>
    <w:p>
      <w:pPr>
        <w:pStyle w:val="Heading1"/>
        <w:jc w:val="left"/>
      </w:pPr>
      <w:r>
        <w:rPr>
          <w:rFonts w:ascii="Calibri" w:hAnsi="Calibri"/>
          <w:color w:val="1B2A4A"/>
        </w:rPr>
        <w:t>6. Incident Response &amp; Business Continuity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Documented Incident Response Plan (IRP) aligned to NIST SP 800-61; last tested: April 2026 (tabletop exercise)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Security Operations: 24/7 monitoring via AWS GuardDuty + custom SIEM (Elastic SIEM); alert response SLA &lt; 15 minutes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Breach notification to affected customers: within 48 hours of confirmed incident (exceeds GDPR 72-hour regulatory requirement)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Post-incident reports provided to enterprise customers within 10 business days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Business Continuity Plan (BCP) tested annually; last test: January 2026</w:t>
      </w:r>
    </w:p>
    <w:p>
      <w:pPr>
        <w:pStyle w:val="Heading1"/>
        <w:jc w:val="left"/>
      </w:pPr>
      <w:r>
        <w:rPr>
          <w:rFonts w:ascii="Calibri" w:hAnsi="Calibri"/>
          <w:color w:val="1B2A4A"/>
        </w:rPr>
        <w:t>7. Compliance &amp; Certifications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ISO/IEC 27001:2022 — certified since 2023; certificate issued by Bureau Veritas; valid until 14 November 2026; scope: design, development, and operation of the Nexus Projects platform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GDPR — Data Processor; DPA available; DPO appointed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NIS2 Directive — significant entity assessment in progress (target: Q4 2026)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Annual employee security awareness training: 100 % completion rate (last cycle: May 2026)</w:t>
      </w:r>
    </w:p>
    <w:p>
      <w:pPr>
        <w:pStyle w:val="ListBullet"/>
        <w:spacing w:after="60"/>
      </w:pPr>
      <w:r>
        <w:rPr>
          <w:rFonts w:ascii="Calibri" w:hAnsi="Calibri"/>
          <w:sz w:val="20"/>
        </w:rPr>
        <w:t>Penetration testing: annual external test; conducted by an independent certified security firm; most recent: February 2026; all critical and high findings remediated before go-live</w:t>
      </w:r>
    </w:p>
    <w:p/>
    <w:p>
      <w:pPr>
        <w:jc w:val="center"/>
      </w:pPr>
      <w:r>
        <w:rPr>
          <w:color w:val="787878"/>
          <w:sz w:val="16"/>
        </w:rPr>
        <w:t>For security enquiries: security@nexussoftware.example  ·  DPA requests: privacy@nexussoftware.example  ·  www.nexussoftware.example/security</w:t>
      </w:r>
    </w:p>
    <w:sectPr w:rsidR="00FC693F" w:rsidRPr="0006063C" w:rsidSect="00034616"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